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ED8" w:rsidRDefault="00C81ED8">
      <w:pPr>
        <w:spacing w:line="520" w:lineRule="exact"/>
        <w:jc w:val="center"/>
        <w:rPr>
          <w:rFonts w:ascii="仿宋_GB2312" w:eastAsia="仿宋_GB2312" w:hAnsi="仿宋_GB2312" w:cs="仿宋_GB2312"/>
          <w:b/>
          <w:bCs/>
          <w:sz w:val="30"/>
          <w:szCs w:val="30"/>
        </w:rPr>
      </w:pPr>
      <w:r w:rsidRPr="00C81ED8">
        <w:rPr>
          <w:rFonts w:ascii="仿宋_GB2312" w:eastAsia="仿宋_GB2312" w:hAnsi="仿宋_GB2312" w:cs="仿宋_GB2312" w:hint="eastAsia"/>
          <w:b/>
          <w:bCs/>
          <w:noProof/>
          <w:sz w:val="30"/>
          <w:szCs w:val="30"/>
        </w:rPr>
        <w:drawing>
          <wp:anchor distT="0" distB="0" distL="114300" distR="114300" simplePos="0" relativeHeight="251659264" behindDoc="1" locked="0" layoutInCell="1" allowOverlap="1">
            <wp:simplePos x="0" y="0"/>
            <wp:positionH relativeFrom="column">
              <wp:posOffset>-1145215</wp:posOffset>
            </wp:positionH>
            <wp:positionV relativeFrom="paragraph">
              <wp:posOffset>-914400</wp:posOffset>
            </wp:positionV>
            <wp:extent cx="7561964" cy="10696353"/>
            <wp:effectExtent l="19050" t="0" r="886" b="0"/>
            <wp:wrapNone/>
            <wp:docPr id="2" name="图片 2" descr="D:\个人重要资料(勿删)\Administrator\桌面\生科院红头文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个人重要资料(勿删)\Administrator\桌面\生科院红头文件.jpg"/>
                    <pic:cNvPicPr>
                      <a:picLocks noChangeAspect="1" noChangeArrowheads="1"/>
                    </pic:cNvPicPr>
                  </pic:nvPicPr>
                  <pic:blipFill>
                    <a:blip r:embed="rId7" cstate="print"/>
                    <a:srcRect/>
                    <a:stretch>
                      <a:fillRect/>
                    </a:stretch>
                  </pic:blipFill>
                  <pic:spPr bwMode="auto">
                    <a:xfrm>
                      <a:off x="0" y="0"/>
                      <a:ext cx="7561964" cy="10696353"/>
                    </a:xfrm>
                    <a:prstGeom prst="rect">
                      <a:avLst/>
                    </a:prstGeom>
                    <a:noFill/>
                    <a:ln w="9525">
                      <a:noFill/>
                      <a:miter lim="800000"/>
                      <a:headEnd/>
                      <a:tailEnd/>
                    </a:ln>
                  </pic:spPr>
                </pic:pic>
              </a:graphicData>
            </a:graphic>
          </wp:anchor>
        </w:drawing>
      </w:r>
    </w:p>
    <w:p w:rsidR="00C81ED8" w:rsidRDefault="00C81ED8">
      <w:pPr>
        <w:spacing w:line="520" w:lineRule="exact"/>
        <w:jc w:val="center"/>
        <w:rPr>
          <w:rFonts w:ascii="仿宋_GB2312" w:eastAsia="仿宋_GB2312" w:hAnsi="仿宋_GB2312" w:cs="仿宋_GB2312"/>
          <w:b/>
          <w:bCs/>
          <w:sz w:val="30"/>
          <w:szCs w:val="30"/>
        </w:rPr>
      </w:pPr>
    </w:p>
    <w:p w:rsidR="00C81ED8" w:rsidRDefault="00C81ED8">
      <w:pPr>
        <w:spacing w:line="520" w:lineRule="exact"/>
        <w:jc w:val="center"/>
        <w:rPr>
          <w:rFonts w:ascii="仿宋_GB2312" w:eastAsia="仿宋_GB2312" w:hAnsi="仿宋_GB2312" w:cs="仿宋_GB2312"/>
          <w:b/>
          <w:bCs/>
          <w:sz w:val="30"/>
          <w:szCs w:val="30"/>
        </w:rPr>
      </w:pPr>
    </w:p>
    <w:p w:rsidR="00C81ED8" w:rsidRDefault="00C81ED8">
      <w:pPr>
        <w:spacing w:line="520" w:lineRule="exact"/>
        <w:jc w:val="center"/>
        <w:rPr>
          <w:rFonts w:ascii="仿宋_GB2312" w:eastAsia="仿宋_GB2312" w:hAnsi="仿宋_GB2312" w:cs="仿宋_GB2312"/>
          <w:b/>
          <w:bCs/>
          <w:sz w:val="30"/>
          <w:szCs w:val="30"/>
        </w:rPr>
      </w:pPr>
    </w:p>
    <w:p w:rsidR="00C81ED8" w:rsidRPr="00D726C7" w:rsidRDefault="00C81ED8" w:rsidP="00C81ED8">
      <w:pPr>
        <w:jc w:val="center"/>
        <w:rPr>
          <w:sz w:val="26"/>
          <w:szCs w:val="32"/>
        </w:rPr>
      </w:pPr>
      <w:r w:rsidRPr="00D726C7">
        <w:rPr>
          <w:rFonts w:hint="eastAsia"/>
          <w:sz w:val="26"/>
          <w:szCs w:val="32"/>
        </w:rPr>
        <w:t>湘农生科</w:t>
      </w:r>
      <w:r w:rsidRPr="00D726C7">
        <w:rPr>
          <w:rFonts w:asciiTheme="minorEastAsia" w:hAnsiTheme="minorEastAsia" w:hint="eastAsia"/>
          <w:sz w:val="26"/>
          <w:szCs w:val="32"/>
        </w:rPr>
        <w:t>【2017】</w:t>
      </w:r>
      <w:r>
        <w:rPr>
          <w:rFonts w:asciiTheme="minorEastAsia" w:hAnsiTheme="minorEastAsia" w:hint="eastAsia"/>
          <w:sz w:val="26"/>
          <w:szCs w:val="32"/>
        </w:rPr>
        <w:t>5号</w:t>
      </w:r>
    </w:p>
    <w:p w:rsidR="00C81ED8" w:rsidRDefault="00C81ED8">
      <w:pPr>
        <w:spacing w:line="520" w:lineRule="exact"/>
        <w:jc w:val="center"/>
        <w:rPr>
          <w:rFonts w:ascii="仿宋_GB2312" w:eastAsia="仿宋_GB2312" w:hAnsi="仿宋_GB2312" w:cs="仿宋_GB2312"/>
          <w:b/>
          <w:bCs/>
          <w:sz w:val="30"/>
          <w:szCs w:val="30"/>
        </w:rPr>
      </w:pPr>
    </w:p>
    <w:p w:rsidR="00CE182F" w:rsidRDefault="00DE7161">
      <w:pPr>
        <w:spacing w:line="520" w:lineRule="exact"/>
        <w:jc w:val="center"/>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生物科学技术学院教育教学研究与改革奖惩办法</w:t>
      </w:r>
    </w:p>
    <w:p w:rsidR="00CE182F" w:rsidRDefault="00CE182F">
      <w:pPr>
        <w:spacing w:line="520" w:lineRule="exact"/>
        <w:jc w:val="center"/>
        <w:rPr>
          <w:sz w:val="30"/>
          <w:szCs w:val="30"/>
        </w:rPr>
      </w:pPr>
      <w:bookmarkStart w:id="0" w:name="_GoBack"/>
      <w:bookmarkEnd w:id="0"/>
    </w:p>
    <w:p w:rsidR="00CE182F" w:rsidRDefault="00DE7161" w:rsidP="00C81ED8">
      <w:pPr>
        <w:spacing w:line="276" w:lineRule="auto"/>
        <w:ind w:firstLine="560"/>
        <w:jc w:val="center"/>
        <w:rPr>
          <w:rFonts w:ascii="仿宋_GB2312" w:eastAsia="仿宋_GB2312" w:hAnsi="仿宋_GB2312" w:cs="仿宋_GB2312"/>
          <w:sz w:val="24"/>
        </w:rPr>
      </w:pPr>
      <w:r>
        <w:rPr>
          <w:rFonts w:ascii="仿宋_GB2312" w:eastAsia="仿宋_GB2312" w:hAnsi="仿宋_GB2312" w:cs="仿宋_GB2312" w:hint="eastAsia"/>
          <w:sz w:val="24"/>
        </w:rPr>
        <w:t>为建立我院教育教学研究与改革激励与约束机制，进一步调动教职工开展教学研究、教学改革及教学管理的积极性，促进教育教学研究与改革成效的提高，</w:t>
      </w:r>
    </w:p>
    <w:p w:rsidR="00CE182F" w:rsidRDefault="00DE7161" w:rsidP="00C81ED8">
      <w:pPr>
        <w:spacing w:line="276" w:lineRule="auto"/>
        <w:rPr>
          <w:sz w:val="24"/>
        </w:rPr>
      </w:pPr>
      <w:r>
        <w:rPr>
          <w:rFonts w:ascii="仿宋_GB2312" w:eastAsia="仿宋_GB2312" w:hAnsi="仿宋_GB2312" w:cs="仿宋_GB2312" w:hint="eastAsia"/>
          <w:sz w:val="24"/>
        </w:rPr>
        <w:t>根据我院近年教育教学研究与改革状况以及目标管理指标实现程度尚存差距的现实，特制定本办法。</w:t>
      </w:r>
    </w:p>
    <w:p w:rsidR="00CE182F" w:rsidRDefault="00DE7161" w:rsidP="00C81ED8">
      <w:pPr>
        <w:spacing w:line="276" w:lineRule="auto"/>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一、基本概念</w:t>
      </w:r>
      <w:r w:rsidR="00C81ED8">
        <w:rPr>
          <w:rFonts w:ascii="仿宋_GB2312" w:eastAsia="仿宋_GB2312" w:hAnsi="仿宋_GB2312" w:cs="仿宋_GB2312" w:hint="eastAsia"/>
          <w:b/>
          <w:bCs/>
          <w:sz w:val="28"/>
          <w:szCs w:val="28"/>
        </w:rPr>
        <w:t>及</w:t>
      </w:r>
      <w:r>
        <w:rPr>
          <w:rFonts w:ascii="仿宋_GB2312" w:eastAsia="仿宋_GB2312" w:hAnsi="仿宋_GB2312" w:cs="仿宋_GB2312" w:hint="eastAsia"/>
          <w:b/>
          <w:bCs/>
          <w:sz w:val="28"/>
          <w:szCs w:val="28"/>
        </w:rPr>
        <w:t>界定</w:t>
      </w:r>
    </w:p>
    <w:p w:rsidR="00CE182F" w:rsidRDefault="00DE7161" w:rsidP="00C81ED8">
      <w:pPr>
        <w:spacing w:line="276" w:lineRule="auto"/>
        <w:rPr>
          <w:rFonts w:ascii="仿宋_GB2312" w:eastAsia="仿宋_GB2312" w:hAnsi="仿宋_GB2312" w:cs="仿宋_GB2312"/>
          <w:b/>
          <w:bCs/>
          <w:sz w:val="24"/>
        </w:rPr>
      </w:pPr>
      <w:r>
        <w:rPr>
          <w:rFonts w:ascii="仿宋_GB2312" w:eastAsia="仿宋_GB2312" w:hAnsi="仿宋_GB2312" w:cs="仿宋_GB2312" w:hint="eastAsia"/>
          <w:b/>
          <w:bCs/>
          <w:sz w:val="24"/>
        </w:rPr>
        <w:t xml:space="preserve">  1.基本任务</w:t>
      </w:r>
    </w:p>
    <w:p w:rsidR="00CE182F" w:rsidRDefault="00DE7161" w:rsidP="00C81ED8">
      <w:pPr>
        <w:spacing w:line="276" w:lineRule="auto"/>
        <w:rPr>
          <w:sz w:val="24"/>
        </w:rPr>
      </w:pPr>
      <w:r>
        <w:rPr>
          <w:rFonts w:hint="eastAsia"/>
          <w:sz w:val="24"/>
        </w:rPr>
        <w:t xml:space="preserve">    </w:t>
      </w:r>
      <w:r>
        <w:rPr>
          <w:rFonts w:ascii="仿宋_GB2312" w:eastAsia="仿宋_GB2312" w:hAnsi="仿宋_GB2312" w:cs="仿宋_GB2312" w:hint="eastAsia"/>
          <w:sz w:val="24"/>
        </w:rPr>
        <w:t>学校现行校级教改年立项数控制约为教师（含学工）数的20%，即要求每位教师5年内主持一次（一个）校级教改课题，也即基本任务。</w:t>
      </w:r>
    </w:p>
    <w:p w:rsidR="00CE182F" w:rsidRDefault="00DE7161" w:rsidP="00C81ED8">
      <w:pPr>
        <w:spacing w:line="276" w:lineRule="auto"/>
        <w:rPr>
          <w:rFonts w:ascii="仿宋_GB2312" w:eastAsia="仿宋_GB2312" w:hAnsi="仿宋_GB2312" w:cs="仿宋_GB2312"/>
          <w:b/>
          <w:bCs/>
          <w:sz w:val="24"/>
        </w:rPr>
      </w:pPr>
      <w:r>
        <w:rPr>
          <w:rFonts w:ascii="仿宋_GB2312" w:eastAsia="仿宋_GB2312" w:hAnsi="仿宋_GB2312" w:cs="仿宋_GB2312" w:hint="eastAsia"/>
          <w:b/>
          <w:bCs/>
          <w:sz w:val="24"/>
        </w:rPr>
        <w:t xml:space="preserve">  2.结题时限</w:t>
      </w:r>
    </w:p>
    <w:p w:rsidR="00CE182F" w:rsidRDefault="00DE7161" w:rsidP="00C81ED8">
      <w:pPr>
        <w:spacing w:line="276" w:lineRule="auto"/>
        <w:rPr>
          <w:sz w:val="24"/>
        </w:rPr>
      </w:pPr>
      <w:r>
        <w:rPr>
          <w:rFonts w:hint="eastAsia"/>
          <w:sz w:val="24"/>
        </w:rPr>
        <w:t xml:space="preserve">    </w:t>
      </w:r>
      <w:r>
        <w:rPr>
          <w:rFonts w:ascii="仿宋_GB2312" w:eastAsia="仿宋_GB2312" w:hAnsi="仿宋_GB2312" w:cs="仿宋_GB2312" w:hint="eastAsia"/>
          <w:sz w:val="24"/>
        </w:rPr>
        <w:t>校级教改课题结题时限于立项时一并设定，除正点结题外，可延期至应结题当年年底目标管理指标核定工作之前。省级及以上教改课题结题时限不可延期。</w:t>
      </w:r>
    </w:p>
    <w:p w:rsidR="00CE182F" w:rsidRDefault="00DE7161" w:rsidP="00C81ED8">
      <w:pPr>
        <w:spacing w:line="276" w:lineRule="auto"/>
        <w:rPr>
          <w:rFonts w:ascii="仿宋_GB2312" w:eastAsia="仿宋_GB2312" w:hAnsi="仿宋_GB2312" w:cs="仿宋_GB2312"/>
          <w:b/>
          <w:bCs/>
          <w:sz w:val="24"/>
        </w:rPr>
      </w:pPr>
      <w:r>
        <w:rPr>
          <w:rFonts w:ascii="仿宋_GB2312" w:eastAsia="仿宋_GB2312" w:hAnsi="仿宋_GB2312" w:cs="仿宋_GB2312" w:hint="eastAsia"/>
          <w:b/>
          <w:bCs/>
          <w:sz w:val="24"/>
        </w:rPr>
        <w:t xml:space="preserve">  3.结题最低要求</w:t>
      </w:r>
    </w:p>
    <w:p w:rsidR="00CE182F" w:rsidRDefault="00DE7161" w:rsidP="00C81ED8">
      <w:pPr>
        <w:spacing w:line="276" w:lineRule="auto"/>
        <w:rPr>
          <w:sz w:val="24"/>
        </w:rPr>
      </w:pPr>
      <w:r>
        <w:rPr>
          <w:rFonts w:hint="eastAsia"/>
          <w:sz w:val="24"/>
        </w:rPr>
        <w:t xml:space="preserve">    </w:t>
      </w:r>
      <w:r>
        <w:rPr>
          <w:rFonts w:ascii="仿宋_GB2312" w:eastAsia="仿宋_GB2312" w:hAnsi="仿宋_GB2312" w:cs="仿宋_GB2312" w:hint="eastAsia"/>
          <w:sz w:val="24"/>
        </w:rPr>
        <w:t>除课题立项时另有规定（设定）外，一般每课题应有一件有效成果（一般为教改论文）。</w:t>
      </w:r>
    </w:p>
    <w:p w:rsidR="00CE182F" w:rsidRDefault="00DE7161" w:rsidP="00C81ED8">
      <w:pPr>
        <w:spacing w:line="276" w:lineRule="auto"/>
        <w:rPr>
          <w:rFonts w:ascii="仿宋_GB2312" w:eastAsia="仿宋_GB2312" w:hAnsi="仿宋_GB2312" w:cs="仿宋_GB2312"/>
          <w:b/>
          <w:bCs/>
          <w:sz w:val="24"/>
        </w:rPr>
      </w:pPr>
      <w:r>
        <w:rPr>
          <w:rFonts w:ascii="仿宋_GB2312" w:eastAsia="仿宋_GB2312" w:hAnsi="仿宋_GB2312" w:cs="仿宋_GB2312" w:hint="eastAsia"/>
          <w:b/>
          <w:bCs/>
          <w:sz w:val="24"/>
        </w:rPr>
        <w:t xml:space="preserve">  4.扣分点</w:t>
      </w:r>
    </w:p>
    <w:p w:rsidR="00CE182F" w:rsidRDefault="00DE7161" w:rsidP="00C81ED8">
      <w:pPr>
        <w:spacing w:line="276" w:lineRule="auto"/>
        <w:rPr>
          <w:sz w:val="24"/>
        </w:rPr>
      </w:pPr>
      <w:r>
        <w:rPr>
          <w:rFonts w:hint="eastAsia"/>
          <w:sz w:val="24"/>
        </w:rPr>
        <w:lastRenderedPageBreak/>
        <w:t xml:space="preserve">    </w:t>
      </w:r>
      <w:r>
        <w:rPr>
          <w:rFonts w:ascii="仿宋_GB2312" w:eastAsia="仿宋_GB2312" w:hAnsi="仿宋_GB2312" w:cs="仿宋_GB2312" w:hint="eastAsia"/>
          <w:sz w:val="24"/>
        </w:rPr>
        <w:t>至结题时限（含校级年内延期）仍不能结题的，即为扣分点。</w:t>
      </w:r>
    </w:p>
    <w:p w:rsidR="00CE182F" w:rsidRDefault="00DE7161" w:rsidP="00C81ED8">
      <w:pPr>
        <w:spacing w:line="276" w:lineRule="auto"/>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二、处罚对象及标准</w:t>
      </w:r>
    </w:p>
    <w:p w:rsidR="00CE182F" w:rsidRDefault="00DE7161" w:rsidP="00C81ED8">
      <w:pPr>
        <w:spacing w:line="276" w:lineRule="auto"/>
        <w:rPr>
          <w:sz w:val="24"/>
        </w:rPr>
      </w:pPr>
      <w:r>
        <w:rPr>
          <w:rFonts w:ascii="仿宋_GB2312" w:eastAsia="仿宋_GB2312" w:hAnsi="仿宋_GB2312" w:cs="仿宋_GB2312" w:hint="eastAsia"/>
          <w:b/>
          <w:bCs/>
          <w:sz w:val="24"/>
        </w:rPr>
        <w:t xml:space="preserve">    </w:t>
      </w:r>
      <w:r>
        <w:rPr>
          <w:rFonts w:ascii="仿宋_GB2312" w:eastAsia="仿宋_GB2312" w:hAnsi="仿宋_GB2312" w:cs="仿宋_GB2312" w:hint="eastAsia"/>
          <w:sz w:val="24"/>
        </w:rPr>
        <w:t>1.应承担基本任务的教师个人，5年内（从2015年算起）未主持一次（一个）校级教改课题的，</w:t>
      </w:r>
      <w:r w:rsidR="00C81ED8">
        <w:rPr>
          <w:rFonts w:ascii="仿宋_GB2312" w:eastAsia="仿宋_GB2312" w:hAnsi="仿宋_GB2312" w:cs="仿宋_GB2312" w:hint="eastAsia"/>
          <w:sz w:val="24"/>
        </w:rPr>
        <w:t>视为未完成基本任务，</w:t>
      </w:r>
      <w:r>
        <w:rPr>
          <w:rFonts w:ascii="仿宋_GB2312" w:eastAsia="仿宋_GB2312" w:hAnsi="仿宋_GB2312" w:cs="仿宋_GB2312" w:hint="eastAsia"/>
          <w:sz w:val="24"/>
        </w:rPr>
        <w:t>届时一次性扣减奖励性绩效500元。</w:t>
      </w:r>
    </w:p>
    <w:p w:rsidR="00CE182F" w:rsidRDefault="00DE7161" w:rsidP="00C81ED8">
      <w:pPr>
        <w:spacing w:line="276" w:lineRule="auto"/>
        <w:rPr>
          <w:rFonts w:ascii="仿宋_GB2312" w:eastAsia="仿宋_GB2312" w:hAnsi="仿宋_GB2312" w:cs="仿宋_GB2312"/>
          <w:b/>
          <w:bCs/>
          <w:sz w:val="24"/>
        </w:rPr>
      </w:pPr>
      <w:r>
        <w:rPr>
          <w:rFonts w:ascii="仿宋_GB2312" w:eastAsia="仿宋_GB2312" w:hAnsi="仿宋_GB2312" w:cs="仿宋_GB2312" w:hint="eastAsia"/>
          <w:b/>
          <w:bCs/>
          <w:sz w:val="24"/>
        </w:rPr>
        <w:t xml:space="preserve">    </w:t>
      </w:r>
      <w:r>
        <w:rPr>
          <w:rFonts w:ascii="仿宋_GB2312" w:eastAsia="仿宋_GB2312" w:hAnsi="仿宋_GB2312" w:cs="仿宋_GB2312" w:hint="eastAsia"/>
          <w:sz w:val="24"/>
        </w:rPr>
        <w:t>2.出现扣分点的，当年扣减奖励性绩效500元。</w:t>
      </w:r>
    </w:p>
    <w:p w:rsidR="00CE182F" w:rsidRDefault="00DE7161" w:rsidP="00C81ED8">
      <w:pPr>
        <w:spacing w:line="276" w:lineRule="auto"/>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三、不奖励情形</w:t>
      </w:r>
    </w:p>
    <w:p w:rsidR="00CE182F" w:rsidRDefault="00DE7161" w:rsidP="00C81ED8">
      <w:pPr>
        <w:spacing w:line="276" w:lineRule="auto"/>
        <w:rPr>
          <w:rFonts w:ascii="仿宋_GB2312" w:eastAsia="仿宋_GB2312" w:hAnsi="仿宋_GB2312" w:cs="仿宋_GB2312"/>
          <w:sz w:val="24"/>
        </w:rPr>
      </w:pPr>
      <w:r>
        <w:rPr>
          <w:rFonts w:hint="eastAsia"/>
          <w:sz w:val="24"/>
        </w:rPr>
        <w:t xml:space="preserve">    </w:t>
      </w:r>
      <w:r>
        <w:rPr>
          <w:rFonts w:ascii="仿宋_GB2312" w:eastAsia="仿宋_GB2312" w:hAnsi="仿宋_GB2312" w:cs="仿宋_GB2312" w:hint="eastAsia"/>
          <w:sz w:val="24"/>
        </w:rPr>
        <w:t>1.至结题时限不能结题，之后出现课题有效成果的，限一件不予奖励。</w:t>
      </w:r>
    </w:p>
    <w:p w:rsidR="00CE182F" w:rsidRDefault="00DE7161" w:rsidP="00C81ED8">
      <w:pPr>
        <w:spacing w:line="276" w:lineRule="auto"/>
        <w:rPr>
          <w:sz w:val="24"/>
        </w:rPr>
      </w:pPr>
      <w:r>
        <w:rPr>
          <w:rFonts w:hint="eastAsia"/>
          <w:sz w:val="24"/>
        </w:rPr>
        <w:t xml:space="preserve"> </w:t>
      </w:r>
      <w:r>
        <w:rPr>
          <w:rFonts w:ascii="仿宋_GB2312" w:eastAsia="仿宋_GB2312" w:hAnsi="仿宋_GB2312" w:cs="仿宋_GB2312" w:hint="eastAsia"/>
          <w:sz w:val="24"/>
        </w:rPr>
        <w:t xml:space="preserve">   2.不应登记在教改成果管理系统的。</w:t>
      </w:r>
    </w:p>
    <w:p w:rsidR="00CE182F" w:rsidRDefault="00DE7161" w:rsidP="00C81ED8">
      <w:pPr>
        <w:spacing w:line="276" w:lineRule="auto"/>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四、奖励对象及标准（除不奖励情形外，下列情况予以奖励）</w:t>
      </w:r>
    </w:p>
    <w:p w:rsidR="00CE182F" w:rsidRDefault="00C81ED8" w:rsidP="00C81ED8">
      <w:pPr>
        <w:spacing w:line="276" w:lineRule="auto"/>
        <w:rPr>
          <w:rFonts w:ascii="仿宋_GB2312" w:eastAsia="仿宋_GB2312" w:hAnsi="仿宋_GB2312" w:cs="仿宋_GB2312"/>
          <w:sz w:val="24"/>
        </w:rPr>
      </w:pPr>
      <w:r>
        <w:rPr>
          <w:rFonts w:ascii="仿宋_GB2312" w:eastAsia="仿宋_GB2312" w:hAnsi="仿宋_GB2312" w:cs="仿宋_GB2312" w:hint="eastAsia"/>
          <w:sz w:val="24"/>
        </w:rPr>
        <w:t xml:space="preserve">    完全</w:t>
      </w:r>
      <w:r w:rsidR="00DE7161">
        <w:rPr>
          <w:rFonts w:ascii="仿宋_GB2312" w:eastAsia="仿宋_GB2312" w:hAnsi="仿宋_GB2312" w:cs="仿宋_GB2312" w:hint="eastAsia"/>
          <w:sz w:val="24"/>
        </w:rPr>
        <w:t>无课题</w:t>
      </w:r>
      <w:r>
        <w:rPr>
          <w:rFonts w:ascii="仿宋_GB2312" w:eastAsia="仿宋_GB2312" w:hAnsi="仿宋_GB2312" w:cs="仿宋_GB2312" w:hint="eastAsia"/>
          <w:sz w:val="24"/>
        </w:rPr>
        <w:t>或超过结题最低要求的有效成果</w:t>
      </w:r>
      <w:r w:rsidR="00DE7161">
        <w:rPr>
          <w:rFonts w:ascii="仿宋_GB2312" w:eastAsia="仿宋_GB2312" w:hAnsi="仿宋_GB2312" w:cs="仿宋_GB2312" w:hint="eastAsia"/>
          <w:sz w:val="24"/>
        </w:rPr>
        <w:t>，每件有效成果给予奖励性绩效1000元奖励。</w:t>
      </w:r>
    </w:p>
    <w:p w:rsidR="00C81ED8" w:rsidRDefault="00C81ED8" w:rsidP="00C81ED8">
      <w:pPr>
        <w:spacing w:line="276" w:lineRule="auto"/>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五、生效时限</w:t>
      </w:r>
    </w:p>
    <w:p w:rsidR="00CE182F" w:rsidRDefault="00DE7161" w:rsidP="00C81ED8">
      <w:pPr>
        <w:spacing w:line="276" w:lineRule="auto"/>
        <w:rPr>
          <w:rFonts w:ascii="仿宋_GB2312" w:eastAsia="仿宋_GB2312" w:hAnsi="仿宋_GB2312" w:cs="仿宋_GB2312"/>
          <w:sz w:val="24"/>
        </w:rPr>
      </w:pPr>
      <w:r>
        <w:rPr>
          <w:rFonts w:ascii="仿宋_GB2312" w:eastAsia="仿宋_GB2312" w:hAnsi="仿宋_GB2312" w:cs="仿宋_GB2312" w:hint="eastAsia"/>
          <w:sz w:val="24"/>
        </w:rPr>
        <w:t xml:space="preserve">    </w:t>
      </w:r>
      <w:r w:rsidR="00C81ED8">
        <w:rPr>
          <w:rFonts w:ascii="仿宋_GB2312" w:eastAsia="仿宋_GB2312" w:hAnsi="仿宋_GB2312" w:cs="仿宋_GB2312" w:hint="eastAsia"/>
          <w:sz w:val="24"/>
        </w:rPr>
        <w:t>自2016年目标管理考核截止时间起生效。</w:t>
      </w:r>
    </w:p>
    <w:p w:rsidR="00CE182F" w:rsidRPr="00C81ED8" w:rsidRDefault="00C81ED8" w:rsidP="00C81ED8">
      <w:pPr>
        <w:spacing w:line="276" w:lineRule="auto"/>
        <w:rPr>
          <w:rFonts w:ascii="仿宋_GB2312" w:eastAsia="仿宋_GB2312" w:hAnsi="仿宋_GB2312" w:cs="仿宋_GB2312"/>
          <w:sz w:val="24"/>
        </w:rPr>
      </w:pPr>
      <w:r w:rsidRPr="00C81ED8">
        <w:rPr>
          <w:rFonts w:ascii="仿宋_GB2312" w:eastAsia="仿宋_GB2312" w:hAnsi="仿宋_GB2312" w:cs="仿宋_GB2312" w:hint="eastAsia"/>
          <w:sz w:val="24"/>
        </w:rPr>
        <w:t xml:space="preserve">      </w:t>
      </w:r>
    </w:p>
    <w:p w:rsidR="00C81ED8" w:rsidRDefault="00407E02" w:rsidP="00C81ED8">
      <w:pPr>
        <w:spacing w:line="276" w:lineRule="auto"/>
        <w:rPr>
          <w:sz w:val="24"/>
        </w:rPr>
      </w:pPr>
      <w:r>
        <w:rPr>
          <w:noProof/>
          <w:sz w:val="24"/>
        </w:rPr>
        <w:drawing>
          <wp:anchor distT="0" distB="0" distL="114300" distR="114300" simplePos="0" relativeHeight="251658239" behindDoc="1" locked="0" layoutInCell="1" allowOverlap="1">
            <wp:simplePos x="0" y="0"/>
            <wp:positionH relativeFrom="column">
              <wp:posOffset>3256280</wp:posOffset>
            </wp:positionH>
            <wp:positionV relativeFrom="paragraph">
              <wp:posOffset>198120</wp:posOffset>
            </wp:positionV>
            <wp:extent cx="1526540" cy="1647190"/>
            <wp:effectExtent l="0" t="0" r="0" b="0"/>
            <wp:wrapNone/>
            <wp:docPr id="1" name="图片 2"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
                    <pic:cNvPicPr>
                      <a:picLocks noChangeAspect="1" noChangeArrowheads="1"/>
                    </pic:cNvPicPr>
                  </pic:nvPicPr>
                  <pic:blipFill>
                    <a:blip r:embed="rId8" cstate="print"/>
                    <a:srcRect/>
                    <a:stretch>
                      <a:fillRect/>
                    </a:stretch>
                  </pic:blipFill>
                  <pic:spPr bwMode="auto">
                    <a:xfrm>
                      <a:off x="0" y="0"/>
                      <a:ext cx="1526540" cy="1647190"/>
                    </a:xfrm>
                    <a:prstGeom prst="rect">
                      <a:avLst/>
                    </a:prstGeom>
                    <a:noFill/>
                    <a:ln w="9525">
                      <a:noFill/>
                      <a:miter lim="800000"/>
                      <a:headEnd/>
                      <a:tailEnd/>
                    </a:ln>
                  </pic:spPr>
                </pic:pic>
              </a:graphicData>
            </a:graphic>
          </wp:anchor>
        </w:drawing>
      </w:r>
    </w:p>
    <w:p w:rsidR="00C81ED8" w:rsidRDefault="00C81ED8" w:rsidP="00C81ED8">
      <w:pPr>
        <w:spacing w:line="276" w:lineRule="auto"/>
        <w:rPr>
          <w:sz w:val="24"/>
        </w:rPr>
      </w:pPr>
    </w:p>
    <w:p w:rsidR="00C81ED8" w:rsidRDefault="00C81ED8" w:rsidP="00C81ED8">
      <w:pPr>
        <w:spacing w:line="276" w:lineRule="auto"/>
        <w:rPr>
          <w:sz w:val="24"/>
        </w:rPr>
      </w:pPr>
    </w:p>
    <w:p w:rsidR="00C81ED8" w:rsidRPr="00C81ED8" w:rsidRDefault="00C81ED8" w:rsidP="00C81ED8">
      <w:pPr>
        <w:spacing w:line="360" w:lineRule="auto"/>
        <w:ind w:firstLineChars="2250" w:firstLine="5400"/>
        <w:rPr>
          <w:rFonts w:ascii="仿宋_GB2312" w:eastAsia="仿宋_GB2312" w:hAnsi="仿宋_GB2312" w:cs="仿宋_GB2312"/>
          <w:sz w:val="24"/>
        </w:rPr>
      </w:pPr>
      <w:r w:rsidRPr="00C81ED8">
        <w:rPr>
          <w:rFonts w:ascii="仿宋_GB2312" w:eastAsia="仿宋_GB2312" w:hAnsi="仿宋_GB2312" w:cs="仿宋_GB2312" w:hint="eastAsia"/>
          <w:sz w:val="24"/>
        </w:rPr>
        <w:t>生物科学技术学院</w:t>
      </w:r>
    </w:p>
    <w:p w:rsidR="00C81ED8" w:rsidRPr="00C81ED8" w:rsidRDefault="00C81ED8" w:rsidP="00C81ED8">
      <w:pPr>
        <w:spacing w:line="360" w:lineRule="auto"/>
        <w:ind w:firstLineChars="2250" w:firstLine="5400"/>
        <w:rPr>
          <w:rFonts w:ascii="仿宋_GB2312" w:eastAsia="仿宋_GB2312" w:hAnsi="仿宋_GB2312" w:cs="仿宋_GB2312"/>
          <w:sz w:val="24"/>
        </w:rPr>
      </w:pPr>
      <w:r w:rsidRPr="00C81ED8">
        <w:rPr>
          <w:rFonts w:ascii="仿宋_GB2312" w:eastAsia="仿宋_GB2312" w:hAnsi="仿宋_GB2312" w:cs="仿宋_GB2312" w:hint="eastAsia"/>
          <w:sz w:val="24"/>
        </w:rPr>
        <w:t>2017年4月28日</w:t>
      </w:r>
    </w:p>
    <w:sectPr w:rsidR="00C81ED8" w:rsidRPr="00C81ED8" w:rsidSect="00CE18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9C5" w:rsidRDefault="001979C5" w:rsidP="00407E02">
      <w:r>
        <w:separator/>
      </w:r>
    </w:p>
  </w:endnote>
  <w:endnote w:type="continuationSeparator" w:id="0">
    <w:p w:rsidR="001979C5" w:rsidRDefault="001979C5" w:rsidP="00407E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9C5" w:rsidRDefault="001979C5" w:rsidP="00407E02">
      <w:r>
        <w:separator/>
      </w:r>
    </w:p>
  </w:footnote>
  <w:footnote w:type="continuationSeparator" w:id="0">
    <w:p w:rsidR="001979C5" w:rsidRDefault="001979C5" w:rsidP="00407E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ocumentProtection w:edit="readOnly" w:enforcement="1" w:cryptProviderType="rsaFull" w:cryptAlgorithmClass="hash" w:cryptAlgorithmType="typeAny" w:cryptAlgorithmSid="4" w:cryptSpinCount="100000" w:hash="yk6mkeb4hThwLXDdYY4B/Byi9e8=" w:salt="pNSG3NKFv2goGeSvymLpmw=="/>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182F"/>
    <w:rsid w:val="001979C5"/>
    <w:rsid w:val="00407E02"/>
    <w:rsid w:val="00823C57"/>
    <w:rsid w:val="00C81ED8"/>
    <w:rsid w:val="00CA7742"/>
    <w:rsid w:val="00CE182F"/>
    <w:rsid w:val="00DE7161"/>
    <w:rsid w:val="03303D20"/>
    <w:rsid w:val="0B8C1C17"/>
    <w:rsid w:val="16ED1703"/>
    <w:rsid w:val="42DE2BF5"/>
    <w:rsid w:val="63CB30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182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07E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07E02"/>
    <w:rPr>
      <w:kern w:val="2"/>
      <w:sz w:val="18"/>
      <w:szCs w:val="18"/>
    </w:rPr>
  </w:style>
  <w:style w:type="paragraph" w:styleId="a4">
    <w:name w:val="footer"/>
    <w:basedOn w:val="a"/>
    <w:link w:val="Char0"/>
    <w:rsid w:val="00407E02"/>
    <w:pPr>
      <w:tabs>
        <w:tab w:val="center" w:pos="4153"/>
        <w:tab w:val="right" w:pos="8306"/>
      </w:tabs>
      <w:snapToGrid w:val="0"/>
      <w:jc w:val="left"/>
    </w:pPr>
    <w:rPr>
      <w:sz w:val="18"/>
      <w:szCs w:val="18"/>
    </w:rPr>
  </w:style>
  <w:style w:type="character" w:customStyle="1" w:styleId="Char0">
    <w:name w:val="页脚 Char"/>
    <w:basedOn w:val="a0"/>
    <w:link w:val="a4"/>
    <w:rsid w:val="00407E0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110</Words>
  <Characters>627</Characters>
  <Application>Microsoft Office Word</Application>
  <DocSecurity>8</DocSecurity>
  <Lines>5</Lines>
  <Paragraphs>1</Paragraphs>
  <ScaleCrop>false</ScaleCrop>
  <Company/>
  <LinksUpToDate>false</LinksUpToDate>
  <CharactersWithSpaces>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2014-10-29T12:08:00Z</dcterms:created>
  <dcterms:modified xsi:type="dcterms:W3CDTF">2017-05-03T07:32:00Z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